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BCF47" w14:textId="77777777" w:rsidR="00532C63" w:rsidRPr="00532C63" w:rsidRDefault="00532C63" w:rsidP="00532C63">
      <w:r w:rsidRPr="00532C63">
        <w:rPr>
          <w:b/>
          <w:bCs/>
        </w:rPr>
        <w:t>1. AMAÇ</w:t>
      </w:r>
    </w:p>
    <w:p w14:paraId="646BA8EA" w14:textId="0D815F87" w:rsidR="00532C63" w:rsidRPr="00532C63" w:rsidRDefault="00532C63" w:rsidP="00532C63">
      <w:r w:rsidRPr="00532C63">
        <w:t xml:space="preserve">Bu </w:t>
      </w:r>
      <w:r w:rsidR="00E2660E">
        <w:t xml:space="preserve">talimatın </w:t>
      </w:r>
      <w:r w:rsidRPr="00532C63">
        <w:t>amacı; kurumumuzda kesici-delici aletler ile yapılan çalışmalarda çalışanların güvenliğini sağlamak, yaralanmaları önlemek, yaralanma sonrası yapılacak takip ve tedavi süreçlerini standart hale getirmek ve yaralanmaya bağlı olası enfeksiyonları, diğer sağlık sorunlarını ve sekelleri en aza indirmek veya engellemektir.</w:t>
      </w:r>
    </w:p>
    <w:p w14:paraId="113BF5D9" w14:textId="77777777" w:rsidR="00532C63" w:rsidRPr="00532C63" w:rsidRDefault="00532C63" w:rsidP="00532C63">
      <w:r w:rsidRPr="00532C63">
        <w:rPr>
          <w:b/>
          <w:bCs/>
        </w:rPr>
        <w:t>2. KAPSAM</w:t>
      </w:r>
    </w:p>
    <w:p w14:paraId="44533B55" w14:textId="4C6314A0" w:rsidR="00532C63" w:rsidRPr="00532C63" w:rsidRDefault="00532C63" w:rsidP="00532C63">
      <w:r w:rsidRPr="00532C63">
        <w:t xml:space="preserve">Bu </w:t>
      </w:r>
      <w:r w:rsidR="00E2660E">
        <w:t>talimat</w:t>
      </w:r>
      <w:r w:rsidRPr="00532C63">
        <w:t>, kurumumuzun tüm birimlerini ve kesici-delici aletlerle çalışan tüm personeli kapsar.</w:t>
      </w:r>
    </w:p>
    <w:p w14:paraId="4817F9E1" w14:textId="77777777" w:rsidR="00532C63" w:rsidRPr="00532C63" w:rsidRDefault="00532C63" w:rsidP="00532C63">
      <w:r w:rsidRPr="00532C63">
        <w:rPr>
          <w:b/>
          <w:bCs/>
        </w:rPr>
        <w:t>3. KISALTMALAR</w:t>
      </w:r>
    </w:p>
    <w:p w14:paraId="5ADA09F3" w14:textId="77777777" w:rsidR="00532C63" w:rsidRPr="00532C63" w:rsidRDefault="00532C63" w:rsidP="00532C63">
      <w:pPr>
        <w:numPr>
          <w:ilvl w:val="0"/>
          <w:numId w:val="31"/>
        </w:numPr>
      </w:pPr>
      <w:r w:rsidRPr="00532C63">
        <w:rPr>
          <w:b/>
          <w:bCs/>
        </w:rPr>
        <w:t>HBV:</w:t>
      </w:r>
      <w:r w:rsidRPr="00532C63">
        <w:t xml:space="preserve"> Hepatit B Virüsü</w:t>
      </w:r>
    </w:p>
    <w:p w14:paraId="79BC879D" w14:textId="77777777" w:rsidR="00532C63" w:rsidRPr="00532C63" w:rsidRDefault="00532C63" w:rsidP="00532C63">
      <w:pPr>
        <w:numPr>
          <w:ilvl w:val="0"/>
          <w:numId w:val="31"/>
        </w:numPr>
      </w:pPr>
      <w:r w:rsidRPr="00532C63">
        <w:rPr>
          <w:b/>
          <w:bCs/>
        </w:rPr>
        <w:t>HCV:</w:t>
      </w:r>
      <w:r w:rsidRPr="00532C63">
        <w:t xml:space="preserve"> Hepatit C Virüsü</w:t>
      </w:r>
    </w:p>
    <w:p w14:paraId="50AB9828" w14:textId="77777777" w:rsidR="00532C63" w:rsidRPr="00532C63" w:rsidRDefault="00532C63" w:rsidP="00532C63">
      <w:pPr>
        <w:numPr>
          <w:ilvl w:val="0"/>
          <w:numId w:val="31"/>
        </w:numPr>
      </w:pPr>
      <w:r w:rsidRPr="00532C63">
        <w:rPr>
          <w:b/>
          <w:bCs/>
        </w:rPr>
        <w:t>HIV:</w:t>
      </w:r>
      <w:r w:rsidRPr="00532C63">
        <w:t xml:space="preserve"> İnsan </w:t>
      </w:r>
      <w:proofErr w:type="spellStart"/>
      <w:r w:rsidRPr="00532C63">
        <w:t>İmmün</w:t>
      </w:r>
      <w:proofErr w:type="spellEnd"/>
      <w:r w:rsidRPr="00532C63">
        <w:t xml:space="preserve"> Yetmezlik Virüsü</w:t>
      </w:r>
    </w:p>
    <w:p w14:paraId="61F915C3" w14:textId="77777777" w:rsidR="00532C63" w:rsidRPr="00532C63" w:rsidRDefault="00532C63" w:rsidP="00532C63">
      <w:pPr>
        <w:numPr>
          <w:ilvl w:val="0"/>
          <w:numId w:val="31"/>
        </w:numPr>
      </w:pPr>
      <w:r w:rsidRPr="00532C63">
        <w:rPr>
          <w:b/>
          <w:bCs/>
        </w:rPr>
        <w:t>İSGB:</w:t>
      </w:r>
      <w:r w:rsidRPr="00532C63">
        <w:t xml:space="preserve"> İş Sağlığı ve Güvenliği Birimi</w:t>
      </w:r>
    </w:p>
    <w:p w14:paraId="2BC4D4E0" w14:textId="77777777" w:rsidR="00532C63" w:rsidRPr="00532C63" w:rsidRDefault="00532C63" w:rsidP="00532C63">
      <w:pPr>
        <w:numPr>
          <w:ilvl w:val="0"/>
          <w:numId w:val="31"/>
        </w:numPr>
      </w:pPr>
      <w:r w:rsidRPr="00532C63">
        <w:rPr>
          <w:b/>
          <w:bCs/>
        </w:rPr>
        <w:t>EKK:</w:t>
      </w:r>
      <w:r w:rsidRPr="00532C63">
        <w:t xml:space="preserve"> Enfeksiyon Kontrol Komitesi</w:t>
      </w:r>
    </w:p>
    <w:p w14:paraId="39275298" w14:textId="77777777" w:rsidR="00532C63" w:rsidRPr="00532C63" w:rsidRDefault="00532C63" w:rsidP="00532C63">
      <w:pPr>
        <w:numPr>
          <w:ilvl w:val="0"/>
          <w:numId w:val="31"/>
        </w:numPr>
      </w:pPr>
      <w:r w:rsidRPr="00532C63">
        <w:rPr>
          <w:b/>
          <w:bCs/>
        </w:rPr>
        <w:t>KKD:</w:t>
      </w:r>
      <w:r w:rsidRPr="00532C63">
        <w:t xml:space="preserve"> Kişisel Koruyucu Donanım</w:t>
      </w:r>
    </w:p>
    <w:p w14:paraId="3498540E" w14:textId="77777777" w:rsidR="00532C63" w:rsidRPr="00532C63" w:rsidRDefault="00532C63" w:rsidP="00532C63">
      <w:pPr>
        <w:numPr>
          <w:ilvl w:val="0"/>
          <w:numId w:val="31"/>
        </w:numPr>
      </w:pPr>
      <w:r w:rsidRPr="00532C63">
        <w:rPr>
          <w:b/>
          <w:bCs/>
        </w:rPr>
        <w:t>HBIG:</w:t>
      </w:r>
      <w:r w:rsidRPr="00532C63">
        <w:t xml:space="preserve"> Hepatit B </w:t>
      </w:r>
      <w:proofErr w:type="spellStart"/>
      <w:r w:rsidRPr="00532C63">
        <w:t>İmmünglobulin</w:t>
      </w:r>
      <w:proofErr w:type="spellEnd"/>
    </w:p>
    <w:p w14:paraId="52DD77D3" w14:textId="77777777" w:rsidR="00532C63" w:rsidRPr="00532C63" w:rsidRDefault="00532C63" w:rsidP="00532C63">
      <w:r w:rsidRPr="00532C63">
        <w:rPr>
          <w:b/>
          <w:bCs/>
        </w:rPr>
        <w:t>4. TANIMLAR</w:t>
      </w:r>
    </w:p>
    <w:p w14:paraId="154AB238" w14:textId="77777777" w:rsidR="00532C63" w:rsidRPr="00532C63" w:rsidRDefault="00532C63" w:rsidP="00532C63">
      <w:pPr>
        <w:numPr>
          <w:ilvl w:val="0"/>
          <w:numId w:val="32"/>
        </w:numPr>
      </w:pPr>
      <w:proofErr w:type="spellStart"/>
      <w:r w:rsidRPr="00532C63">
        <w:rPr>
          <w:b/>
          <w:bCs/>
        </w:rPr>
        <w:t>Profilaksi</w:t>
      </w:r>
      <w:proofErr w:type="spellEnd"/>
      <w:r w:rsidRPr="00532C63">
        <w:rPr>
          <w:b/>
          <w:bCs/>
        </w:rPr>
        <w:t>:</w:t>
      </w:r>
      <w:r w:rsidRPr="00532C63">
        <w:t xml:space="preserve"> Hastalığın ortaya çıkmasını önlemeye yönelik koruyucu tıbbi müdahaleler.</w:t>
      </w:r>
    </w:p>
    <w:p w14:paraId="6DA3DCA4" w14:textId="77777777" w:rsidR="00532C63" w:rsidRPr="00532C63" w:rsidRDefault="00532C63" w:rsidP="00532C63">
      <w:pPr>
        <w:numPr>
          <w:ilvl w:val="0"/>
          <w:numId w:val="32"/>
        </w:numPr>
      </w:pPr>
      <w:r w:rsidRPr="00532C63">
        <w:rPr>
          <w:b/>
          <w:bCs/>
        </w:rPr>
        <w:t>Kaynak:</w:t>
      </w:r>
      <w:r w:rsidRPr="00532C63">
        <w:t xml:space="preserve"> Yaralanmaya neden olan kesici-delici aletin kullanıldığı hasta.</w:t>
      </w:r>
    </w:p>
    <w:p w14:paraId="425478AA" w14:textId="77777777" w:rsidR="00532C63" w:rsidRPr="00532C63" w:rsidRDefault="00532C63" w:rsidP="00532C63">
      <w:r w:rsidRPr="00532C63">
        <w:rPr>
          <w:b/>
          <w:bCs/>
        </w:rPr>
        <w:t>5. SORUMLULAR</w:t>
      </w:r>
    </w:p>
    <w:p w14:paraId="3DA5D99D" w14:textId="77777777" w:rsidR="00532C63" w:rsidRPr="00532C63" w:rsidRDefault="00532C63" w:rsidP="00532C63">
      <w:pPr>
        <w:numPr>
          <w:ilvl w:val="0"/>
          <w:numId w:val="33"/>
        </w:numPr>
      </w:pPr>
      <w:r w:rsidRPr="00532C63">
        <w:t>Üst Yönetim</w:t>
      </w:r>
    </w:p>
    <w:p w14:paraId="1E9A3D4B" w14:textId="77777777" w:rsidR="00532C63" w:rsidRPr="00532C63" w:rsidRDefault="00532C63" w:rsidP="00532C63">
      <w:pPr>
        <w:numPr>
          <w:ilvl w:val="0"/>
          <w:numId w:val="33"/>
        </w:numPr>
      </w:pPr>
      <w:r w:rsidRPr="00532C63">
        <w:t>Enfeksiyon Kontrol Komitesi (EKK)</w:t>
      </w:r>
    </w:p>
    <w:p w14:paraId="6E0A2CEC" w14:textId="77777777" w:rsidR="00532C63" w:rsidRPr="00532C63" w:rsidRDefault="00532C63" w:rsidP="00532C63">
      <w:pPr>
        <w:numPr>
          <w:ilvl w:val="0"/>
          <w:numId w:val="33"/>
        </w:numPr>
      </w:pPr>
      <w:r w:rsidRPr="00532C63">
        <w:t>İş Sağlığı ve Güvenliği Birimi (İSGB)</w:t>
      </w:r>
    </w:p>
    <w:p w14:paraId="176A4D0D" w14:textId="77777777" w:rsidR="00532C63" w:rsidRPr="00532C63" w:rsidRDefault="00532C63" w:rsidP="00532C63">
      <w:pPr>
        <w:numPr>
          <w:ilvl w:val="0"/>
          <w:numId w:val="33"/>
        </w:numPr>
      </w:pPr>
      <w:r w:rsidRPr="00532C63">
        <w:t>Birim Sorumluları</w:t>
      </w:r>
    </w:p>
    <w:p w14:paraId="641AB42D" w14:textId="77777777" w:rsidR="00532C63" w:rsidRPr="00532C63" w:rsidRDefault="00532C63" w:rsidP="00532C63">
      <w:pPr>
        <w:numPr>
          <w:ilvl w:val="0"/>
          <w:numId w:val="33"/>
        </w:numPr>
      </w:pPr>
      <w:r w:rsidRPr="00532C63">
        <w:t>Tüm Çalışanlar</w:t>
      </w:r>
    </w:p>
    <w:p w14:paraId="6F7F14FC" w14:textId="77777777" w:rsidR="00532C63" w:rsidRPr="00532C63" w:rsidRDefault="00532C63" w:rsidP="00532C63">
      <w:r w:rsidRPr="00532C63">
        <w:rPr>
          <w:b/>
          <w:bCs/>
        </w:rPr>
        <w:t>6. FAALİYET AKIŞI</w:t>
      </w:r>
    </w:p>
    <w:p w14:paraId="7955044D" w14:textId="77777777" w:rsidR="00532C63" w:rsidRPr="00532C63" w:rsidRDefault="00532C63" w:rsidP="00532C63">
      <w:r w:rsidRPr="00532C63">
        <w:rPr>
          <w:b/>
          <w:bCs/>
        </w:rPr>
        <w:t>6.1. Yaralanmaları Önlemeye Yönelik Temel İlkeler</w:t>
      </w:r>
    </w:p>
    <w:p w14:paraId="4D92E872" w14:textId="77777777" w:rsidR="00532C63" w:rsidRPr="00532C63" w:rsidRDefault="00532C63" w:rsidP="00532C63">
      <w:pPr>
        <w:numPr>
          <w:ilvl w:val="0"/>
          <w:numId w:val="34"/>
        </w:numPr>
      </w:pPr>
      <w:r w:rsidRPr="00532C63">
        <w:rPr>
          <w:b/>
          <w:bCs/>
        </w:rPr>
        <w:lastRenderedPageBreak/>
        <w:t>6.1.1.</w:t>
      </w:r>
      <w:r w:rsidRPr="00532C63">
        <w:t xml:space="preserve"> Tüm personele, kesici-delici alet yaralanmalarından korunmaya yönelik hizmet içi eğitimler verilir ve bu eğitimlere katılım kayıt altına alınır.</w:t>
      </w:r>
    </w:p>
    <w:p w14:paraId="17EC3B9A" w14:textId="77777777" w:rsidR="00532C63" w:rsidRPr="00532C63" w:rsidRDefault="00532C63" w:rsidP="00532C63">
      <w:pPr>
        <w:numPr>
          <w:ilvl w:val="0"/>
          <w:numId w:val="34"/>
        </w:numPr>
      </w:pPr>
      <w:r w:rsidRPr="00532C63">
        <w:rPr>
          <w:b/>
          <w:bCs/>
        </w:rPr>
        <w:t>6.1.2.</w:t>
      </w:r>
      <w:r w:rsidRPr="00532C63">
        <w:t xml:space="preserve"> Tüm </w:t>
      </w:r>
      <w:proofErr w:type="spellStart"/>
      <w:r w:rsidRPr="00532C63">
        <w:t>invaziv</w:t>
      </w:r>
      <w:proofErr w:type="spellEnd"/>
      <w:r w:rsidRPr="00532C63">
        <w:t xml:space="preserve"> girişimlerde gerekli koruyucu önlemlere (KKD kullanımı dahil) titizlikle uyulur.</w:t>
      </w:r>
    </w:p>
    <w:p w14:paraId="23C88994" w14:textId="77777777" w:rsidR="001F179E" w:rsidRDefault="00532C63" w:rsidP="00532C63">
      <w:pPr>
        <w:numPr>
          <w:ilvl w:val="0"/>
          <w:numId w:val="34"/>
        </w:numPr>
      </w:pPr>
      <w:r w:rsidRPr="00532C63">
        <w:rPr>
          <w:b/>
          <w:bCs/>
        </w:rPr>
        <w:t>6.1.3.</w:t>
      </w:r>
      <w:r w:rsidRPr="00532C63">
        <w:t xml:space="preserve"> </w:t>
      </w:r>
      <w:proofErr w:type="spellStart"/>
      <w:r w:rsidRPr="00532C63">
        <w:t>İnvaziv</w:t>
      </w:r>
      <w:proofErr w:type="spellEnd"/>
      <w:r w:rsidRPr="00532C63">
        <w:t xml:space="preserve"> girişimler deneyimli personel tarafından uygulanmalıdır.</w:t>
      </w:r>
      <w:r w:rsidR="00EA554E" w:rsidRPr="00EA554E">
        <w:t xml:space="preserve"> </w:t>
      </w:r>
    </w:p>
    <w:p w14:paraId="137FEDF9" w14:textId="55F2A375" w:rsidR="00EA554E" w:rsidRPr="00532C63" w:rsidRDefault="001F179E" w:rsidP="001F179E">
      <w:pPr>
        <w:numPr>
          <w:ilvl w:val="0"/>
          <w:numId w:val="34"/>
        </w:numPr>
      </w:pPr>
      <w:r w:rsidRPr="001F179E">
        <w:rPr>
          <w:b/>
        </w:rPr>
        <w:t>6.1.4.</w:t>
      </w:r>
      <w:r>
        <w:t xml:space="preserve"> </w:t>
      </w:r>
      <w:r w:rsidR="00EA554E">
        <w:t>Atık toplama işlemi yapan personel, atık yönetimi talimatı ve ilgili mevzuata uygun şekilde çalışmalıdır</w:t>
      </w:r>
    </w:p>
    <w:p w14:paraId="7D89E990" w14:textId="3399AA5B" w:rsidR="00532C63" w:rsidRPr="00532C63" w:rsidRDefault="00532C63" w:rsidP="00532C63">
      <w:pPr>
        <w:numPr>
          <w:ilvl w:val="0"/>
          <w:numId w:val="34"/>
        </w:numPr>
      </w:pPr>
      <w:r w:rsidRPr="00532C63">
        <w:rPr>
          <w:b/>
          <w:bCs/>
        </w:rPr>
        <w:t>6.1.</w:t>
      </w:r>
      <w:r w:rsidR="001F179E">
        <w:rPr>
          <w:b/>
          <w:bCs/>
        </w:rPr>
        <w:t>5</w:t>
      </w:r>
      <w:r w:rsidRPr="00532C63">
        <w:rPr>
          <w:b/>
          <w:bCs/>
        </w:rPr>
        <w:t>.</w:t>
      </w:r>
      <w:r w:rsidRPr="00532C63">
        <w:t xml:space="preserve"> Kullanılmış enjektör iğneleri kesinlikle plastik kılıfına yeniden geçirilmeye çalışılmamalıdır.</w:t>
      </w:r>
    </w:p>
    <w:p w14:paraId="2ED243A2" w14:textId="2D1FBD95" w:rsidR="00532C63" w:rsidRPr="00532C63" w:rsidRDefault="00532C63" w:rsidP="00532C63">
      <w:pPr>
        <w:numPr>
          <w:ilvl w:val="0"/>
          <w:numId w:val="34"/>
        </w:numPr>
      </w:pPr>
      <w:r w:rsidRPr="00532C63">
        <w:rPr>
          <w:b/>
          <w:bCs/>
        </w:rPr>
        <w:t>6.1.</w:t>
      </w:r>
      <w:r w:rsidR="001F179E">
        <w:rPr>
          <w:b/>
          <w:bCs/>
        </w:rPr>
        <w:t>6</w:t>
      </w:r>
      <w:r w:rsidRPr="00532C63">
        <w:rPr>
          <w:b/>
          <w:bCs/>
        </w:rPr>
        <w:t>.</w:t>
      </w:r>
      <w:r w:rsidRPr="00532C63">
        <w:t xml:space="preserve"> Kullanım sonrası enjektör iğnesi çıkarılmamalı, eğilmemeli veya bükülmemelidir.</w:t>
      </w:r>
    </w:p>
    <w:p w14:paraId="53795D51" w14:textId="0E9A5F97" w:rsidR="00532C63" w:rsidRPr="00532C63" w:rsidRDefault="00532C63" w:rsidP="00532C63">
      <w:pPr>
        <w:numPr>
          <w:ilvl w:val="0"/>
          <w:numId w:val="34"/>
        </w:numPr>
      </w:pPr>
      <w:r w:rsidRPr="00532C63">
        <w:rPr>
          <w:b/>
          <w:bCs/>
        </w:rPr>
        <w:t>6.1.</w:t>
      </w:r>
      <w:r w:rsidR="001F179E">
        <w:rPr>
          <w:b/>
          <w:bCs/>
        </w:rPr>
        <w:t>7</w:t>
      </w:r>
      <w:r w:rsidRPr="00532C63">
        <w:rPr>
          <w:b/>
          <w:bCs/>
        </w:rPr>
        <w:t>.</w:t>
      </w:r>
      <w:r w:rsidRPr="00532C63">
        <w:t xml:space="preserve"> Kullanılmış tüm iğne, </w:t>
      </w:r>
      <w:proofErr w:type="spellStart"/>
      <w:r w:rsidRPr="00532C63">
        <w:t>bistüri</w:t>
      </w:r>
      <w:proofErr w:type="spellEnd"/>
      <w:r w:rsidRPr="00532C63">
        <w:t xml:space="preserve"> ucu ve diğer kesici-delici aletler, delinmeye dayanıklı, sızdırmaz tıbbi atık kutularına derhal atılmalıdır.</w:t>
      </w:r>
    </w:p>
    <w:p w14:paraId="71FDC07E" w14:textId="04B91553" w:rsidR="00532C63" w:rsidRPr="00532C63" w:rsidRDefault="00532C63" w:rsidP="00532C63">
      <w:pPr>
        <w:numPr>
          <w:ilvl w:val="0"/>
          <w:numId w:val="34"/>
        </w:numPr>
      </w:pPr>
      <w:r w:rsidRPr="00532C63">
        <w:rPr>
          <w:b/>
          <w:bCs/>
        </w:rPr>
        <w:t>6.1.</w:t>
      </w:r>
      <w:r w:rsidR="001F179E">
        <w:rPr>
          <w:b/>
          <w:bCs/>
        </w:rPr>
        <w:t>8</w:t>
      </w:r>
      <w:r w:rsidRPr="00532C63">
        <w:rPr>
          <w:b/>
          <w:bCs/>
        </w:rPr>
        <w:t>.</w:t>
      </w:r>
      <w:r w:rsidRPr="00532C63">
        <w:t xml:space="preserve"> Enjeksiyon veya kan alma işlemi sırasında, hastanın ani hareketini önlemek amacıyla bir başka sağlık personelinden yardım alınabilir.</w:t>
      </w:r>
    </w:p>
    <w:p w14:paraId="2ECE9A56" w14:textId="31EF55CF" w:rsidR="00532C63" w:rsidRPr="00532C63" w:rsidRDefault="00532C63" w:rsidP="00532C63">
      <w:pPr>
        <w:numPr>
          <w:ilvl w:val="0"/>
          <w:numId w:val="34"/>
        </w:numPr>
      </w:pPr>
      <w:r w:rsidRPr="00532C63">
        <w:rPr>
          <w:b/>
          <w:bCs/>
        </w:rPr>
        <w:t>6.1.</w:t>
      </w:r>
      <w:r w:rsidR="001F179E">
        <w:rPr>
          <w:b/>
          <w:bCs/>
        </w:rPr>
        <w:t>9</w:t>
      </w:r>
      <w:r w:rsidRPr="00532C63">
        <w:rPr>
          <w:b/>
          <w:bCs/>
        </w:rPr>
        <w:t>.</w:t>
      </w:r>
      <w:r w:rsidRPr="00532C63">
        <w:t xml:space="preserve"> İlgili tüm personel, Hepatit B başta olmak üzere aşı ile önlenebilir hastalıklar açısından değerlendirilir, bağışıklık durumuna göre aşı programına alınır ve bu uygulamalar kayıt altına alınır.</w:t>
      </w:r>
    </w:p>
    <w:p w14:paraId="470392C2" w14:textId="77777777" w:rsidR="00532C63" w:rsidRPr="00532C63" w:rsidRDefault="00532C63" w:rsidP="00532C63">
      <w:r w:rsidRPr="00532C63">
        <w:rPr>
          <w:b/>
          <w:bCs/>
        </w:rPr>
        <w:t>6.2. Yaralanma veya Temas Anında Acil Yapılacak İşlemler</w:t>
      </w:r>
    </w:p>
    <w:p w14:paraId="6F21FB2F" w14:textId="77777777" w:rsidR="00532C63" w:rsidRPr="00532C63" w:rsidRDefault="00532C63" w:rsidP="00532C63">
      <w:pPr>
        <w:numPr>
          <w:ilvl w:val="0"/>
          <w:numId w:val="35"/>
        </w:numPr>
      </w:pPr>
      <w:r w:rsidRPr="00532C63">
        <w:rPr>
          <w:b/>
          <w:bCs/>
        </w:rPr>
        <w:t>6.2.1.</w:t>
      </w:r>
      <w:r w:rsidRPr="00532C63">
        <w:t xml:space="preserve"> İğne batması veya kesik durumunda, kanayan veya zedelenen cilt bölgesi derhal sabun ve su ile yıkanmalıdır.</w:t>
      </w:r>
    </w:p>
    <w:p w14:paraId="05AE2AB2" w14:textId="77777777" w:rsidR="00532C63" w:rsidRPr="00532C63" w:rsidRDefault="00532C63" w:rsidP="00532C63">
      <w:pPr>
        <w:numPr>
          <w:ilvl w:val="0"/>
          <w:numId w:val="35"/>
        </w:numPr>
      </w:pPr>
      <w:r w:rsidRPr="00532C63">
        <w:rPr>
          <w:b/>
          <w:bCs/>
        </w:rPr>
        <w:t>6.2.2.</w:t>
      </w:r>
      <w:r w:rsidRPr="00532C63">
        <w:t xml:space="preserve"> Yaradan kan emilmesi, yaranın sıkılması veya kanatılmaya çalışılması gibi doku </w:t>
      </w:r>
      <w:proofErr w:type="spellStart"/>
      <w:r w:rsidRPr="00532C63">
        <w:t>harabiyetini</w:t>
      </w:r>
      <w:proofErr w:type="spellEnd"/>
      <w:r w:rsidRPr="00532C63">
        <w:t xml:space="preserve"> artırıcı uygulamalardan kesinlikle kaçınılmalıdır.</w:t>
      </w:r>
    </w:p>
    <w:p w14:paraId="05A8A272" w14:textId="77777777" w:rsidR="00532C63" w:rsidRPr="00532C63" w:rsidRDefault="00532C63" w:rsidP="00532C63">
      <w:pPr>
        <w:numPr>
          <w:ilvl w:val="0"/>
          <w:numId w:val="35"/>
        </w:numPr>
      </w:pPr>
      <w:r w:rsidRPr="00532C63">
        <w:rPr>
          <w:b/>
          <w:bCs/>
        </w:rPr>
        <w:t>6.2.3.</w:t>
      </w:r>
      <w:r w:rsidRPr="00532C63">
        <w:t xml:space="preserve"> Yaralanan bölgeye çamaşır suyu gibi </w:t>
      </w:r>
      <w:proofErr w:type="spellStart"/>
      <w:r w:rsidRPr="00532C63">
        <w:t>toksik</w:t>
      </w:r>
      <w:proofErr w:type="spellEnd"/>
      <w:r w:rsidRPr="00532C63">
        <w:t xml:space="preserve"> maddeler sürülmemelidir.</w:t>
      </w:r>
    </w:p>
    <w:p w14:paraId="316C903C" w14:textId="77777777" w:rsidR="00532C63" w:rsidRPr="00532C63" w:rsidRDefault="00532C63" w:rsidP="00532C63">
      <w:pPr>
        <w:numPr>
          <w:ilvl w:val="0"/>
          <w:numId w:val="35"/>
        </w:numPr>
      </w:pPr>
      <w:r w:rsidRPr="00532C63">
        <w:rPr>
          <w:b/>
          <w:bCs/>
        </w:rPr>
        <w:t>6.2.4.</w:t>
      </w:r>
      <w:r w:rsidRPr="00532C63">
        <w:t xml:space="preserve"> Hasta vücut sıvılarının göze bulaşması durumunda, gözler derhal su veya serum fizyolojikle yıkanmalıdır.</w:t>
      </w:r>
    </w:p>
    <w:p w14:paraId="2CE616B4" w14:textId="77777777" w:rsidR="00532C63" w:rsidRPr="00532C63" w:rsidRDefault="00532C63" w:rsidP="00532C63">
      <w:pPr>
        <w:numPr>
          <w:ilvl w:val="0"/>
          <w:numId w:val="35"/>
        </w:numPr>
      </w:pPr>
      <w:r w:rsidRPr="00532C63">
        <w:rPr>
          <w:b/>
          <w:bCs/>
        </w:rPr>
        <w:t>6.2.5.</w:t>
      </w:r>
      <w:r w:rsidRPr="00532C63">
        <w:t xml:space="preserve"> Olay, vakit kaybetmeden birim sorumlusuna bildirilmelidir.</w:t>
      </w:r>
    </w:p>
    <w:p w14:paraId="1201C71E" w14:textId="77777777" w:rsidR="00532C63" w:rsidRPr="00532C63" w:rsidRDefault="00532C63" w:rsidP="00532C63">
      <w:r w:rsidRPr="00532C63">
        <w:rPr>
          <w:b/>
          <w:bCs/>
        </w:rPr>
        <w:t>6.3. Yaralanma Sonrası Bildirim ve Yönetim Süreci</w:t>
      </w:r>
    </w:p>
    <w:p w14:paraId="69408790" w14:textId="77777777" w:rsidR="00532C63" w:rsidRPr="00532C63" w:rsidRDefault="00532C63" w:rsidP="00532C63">
      <w:pPr>
        <w:numPr>
          <w:ilvl w:val="0"/>
          <w:numId w:val="36"/>
        </w:numPr>
      </w:pPr>
      <w:r w:rsidRPr="00532C63">
        <w:rPr>
          <w:b/>
          <w:bCs/>
        </w:rPr>
        <w:t>6.3.1.</w:t>
      </w:r>
      <w:r w:rsidRPr="00532C63">
        <w:t xml:space="preserve"> Yaralanan personel için “Kesici Delici Alet Yaralanmaları Bildirim Formu” </w:t>
      </w:r>
      <w:proofErr w:type="gramStart"/>
      <w:r w:rsidRPr="00532C63">
        <w:t>doldurulur</w:t>
      </w:r>
      <w:proofErr w:type="gramEnd"/>
      <w:r w:rsidRPr="00532C63">
        <w:t>.</w:t>
      </w:r>
    </w:p>
    <w:p w14:paraId="6B9D8BF5" w14:textId="77777777" w:rsidR="00532C63" w:rsidRPr="00532C63" w:rsidRDefault="00532C63" w:rsidP="00532C63">
      <w:pPr>
        <w:numPr>
          <w:ilvl w:val="0"/>
          <w:numId w:val="36"/>
        </w:numPr>
      </w:pPr>
      <w:r w:rsidRPr="00532C63">
        <w:rPr>
          <w:b/>
          <w:bCs/>
        </w:rPr>
        <w:lastRenderedPageBreak/>
        <w:t>6.3.2.</w:t>
      </w:r>
      <w:r w:rsidRPr="00532C63">
        <w:t xml:space="preserve"> Olay, iş kazası olarak bildirilmeli ve eş zamanlı olarak İSGB bilgilendirilmelidir.</w:t>
      </w:r>
    </w:p>
    <w:p w14:paraId="160F1E62" w14:textId="77777777" w:rsidR="00532C63" w:rsidRPr="00532C63" w:rsidRDefault="00532C63" w:rsidP="00532C63">
      <w:pPr>
        <w:numPr>
          <w:ilvl w:val="0"/>
          <w:numId w:val="36"/>
        </w:numPr>
      </w:pPr>
      <w:r w:rsidRPr="00532C63">
        <w:rPr>
          <w:b/>
          <w:bCs/>
        </w:rPr>
        <w:t>6.3.3.</w:t>
      </w:r>
      <w:r w:rsidRPr="00532C63">
        <w:t xml:space="preserve"> Yaralanan personel, tıbbi izlemlerin yapılabilmesi için olaydan sonra en geç üç (3) iş günü içinde </w:t>
      </w:r>
      <w:proofErr w:type="spellStart"/>
      <w:r w:rsidRPr="00532C63">
        <w:t>İSGB’ye</w:t>
      </w:r>
      <w:proofErr w:type="spellEnd"/>
      <w:r w:rsidRPr="00532C63">
        <w:t xml:space="preserve"> başvurmalıdır.</w:t>
      </w:r>
    </w:p>
    <w:p w14:paraId="5D0D4A20" w14:textId="77777777" w:rsidR="00532C63" w:rsidRPr="00532C63" w:rsidRDefault="00532C63" w:rsidP="00532C63">
      <w:pPr>
        <w:numPr>
          <w:ilvl w:val="0"/>
          <w:numId w:val="36"/>
        </w:numPr>
      </w:pPr>
      <w:r w:rsidRPr="00532C63">
        <w:rPr>
          <w:b/>
          <w:bCs/>
        </w:rPr>
        <w:t>6.3.4.</w:t>
      </w:r>
      <w:r w:rsidRPr="00532C63">
        <w:t xml:space="preserve"> Yaralanan personele yapılan tüm uygulamalar kayıt altına alınır.</w:t>
      </w:r>
    </w:p>
    <w:p w14:paraId="61E19420" w14:textId="77777777" w:rsidR="00532C63" w:rsidRPr="00532C63" w:rsidRDefault="00532C63" w:rsidP="00532C63">
      <w:pPr>
        <w:numPr>
          <w:ilvl w:val="0"/>
          <w:numId w:val="36"/>
        </w:numPr>
      </w:pPr>
      <w:r w:rsidRPr="00532C63">
        <w:rPr>
          <w:b/>
          <w:bCs/>
        </w:rPr>
        <w:t>6.3.5.</w:t>
      </w:r>
      <w:r w:rsidRPr="00532C63">
        <w:t xml:space="preserve"> Toplanan tüm bilgiler </w:t>
      </w:r>
      <w:proofErr w:type="spellStart"/>
      <w:r w:rsidRPr="00532C63">
        <w:t>EKK'ye</w:t>
      </w:r>
      <w:proofErr w:type="spellEnd"/>
      <w:r w:rsidRPr="00532C63">
        <w:t xml:space="preserve"> ulaştırılır.</w:t>
      </w:r>
    </w:p>
    <w:p w14:paraId="25FC7C0C" w14:textId="77777777" w:rsidR="00532C63" w:rsidRPr="00532C63" w:rsidRDefault="00532C63" w:rsidP="00532C63">
      <w:r w:rsidRPr="00532C63">
        <w:rPr>
          <w:b/>
          <w:bCs/>
        </w:rPr>
        <w:t xml:space="preserve">6.4. Tıbbi Değerlendirme ve </w:t>
      </w:r>
      <w:proofErr w:type="spellStart"/>
      <w:r w:rsidRPr="00532C63">
        <w:rPr>
          <w:b/>
          <w:bCs/>
        </w:rPr>
        <w:t>Profilaksi</w:t>
      </w:r>
      <w:proofErr w:type="spellEnd"/>
    </w:p>
    <w:p w14:paraId="622FABD4" w14:textId="77777777" w:rsidR="00532C63" w:rsidRPr="00532C63" w:rsidRDefault="00532C63" w:rsidP="00532C63">
      <w:pPr>
        <w:numPr>
          <w:ilvl w:val="0"/>
          <w:numId w:val="37"/>
        </w:numPr>
      </w:pPr>
      <w:r w:rsidRPr="00532C63">
        <w:rPr>
          <w:b/>
          <w:bCs/>
        </w:rPr>
        <w:t xml:space="preserve">6.4.1. </w:t>
      </w:r>
      <w:proofErr w:type="spellStart"/>
      <w:r w:rsidRPr="00532C63">
        <w:rPr>
          <w:b/>
          <w:bCs/>
        </w:rPr>
        <w:t>Serolojik</w:t>
      </w:r>
      <w:proofErr w:type="spellEnd"/>
      <w:r w:rsidRPr="00532C63">
        <w:rPr>
          <w:b/>
          <w:bCs/>
        </w:rPr>
        <w:t xml:space="preserve"> Değerlendirme:</w:t>
      </w:r>
    </w:p>
    <w:p w14:paraId="59DFCB31" w14:textId="77777777" w:rsidR="00532C63" w:rsidRPr="00532C63" w:rsidRDefault="00532C63" w:rsidP="00532C63">
      <w:pPr>
        <w:numPr>
          <w:ilvl w:val="1"/>
          <w:numId w:val="37"/>
        </w:numPr>
      </w:pPr>
      <w:r w:rsidRPr="00532C63">
        <w:t>Yaralanan personelden ve (eğer tespit edilebiliyorsa) kaynak kişiden HBV, HCV, HIV araştırması için kan örneği alınır.</w:t>
      </w:r>
    </w:p>
    <w:p w14:paraId="7982F535" w14:textId="77777777" w:rsidR="00532C63" w:rsidRPr="00532C63" w:rsidRDefault="00532C63" w:rsidP="00532C63">
      <w:pPr>
        <w:numPr>
          <w:ilvl w:val="1"/>
          <w:numId w:val="37"/>
        </w:numPr>
      </w:pPr>
      <w:r w:rsidRPr="00532C63">
        <w:t xml:space="preserve">Maruz kalan personelde </w:t>
      </w:r>
      <w:proofErr w:type="spellStart"/>
      <w:r w:rsidRPr="00532C63">
        <w:t>HBsAg</w:t>
      </w:r>
      <w:proofErr w:type="spellEnd"/>
      <w:r w:rsidRPr="00532C63">
        <w:t>, Anti-</w:t>
      </w:r>
      <w:proofErr w:type="spellStart"/>
      <w:r w:rsidRPr="00532C63">
        <w:t>HBs</w:t>
      </w:r>
      <w:proofErr w:type="spellEnd"/>
      <w:r w:rsidRPr="00532C63">
        <w:t>, Anti-HCV ve Anti-HIV testleri çalışılmalıdır.</w:t>
      </w:r>
    </w:p>
    <w:p w14:paraId="3005ED5D" w14:textId="77777777" w:rsidR="00532C63" w:rsidRPr="00532C63" w:rsidRDefault="00532C63" w:rsidP="00532C63">
      <w:pPr>
        <w:numPr>
          <w:ilvl w:val="0"/>
          <w:numId w:val="37"/>
        </w:numPr>
      </w:pPr>
      <w:r w:rsidRPr="00532C63">
        <w:rPr>
          <w:b/>
          <w:bCs/>
        </w:rPr>
        <w:t xml:space="preserve">6.4.2. Hepatit B (HBV) </w:t>
      </w:r>
      <w:proofErr w:type="spellStart"/>
      <w:r w:rsidRPr="00532C63">
        <w:rPr>
          <w:b/>
          <w:bCs/>
        </w:rPr>
        <w:t>Profilaksisi</w:t>
      </w:r>
      <w:proofErr w:type="spellEnd"/>
      <w:r w:rsidRPr="00532C63">
        <w:rPr>
          <w:b/>
          <w:bCs/>
        </w:rPr>
        <w:t>:</w:t>
      </w:r>
    </w:p>
    <w:p w14:paraId="6E6FCD0B" w14:textId="77777777" w:rsidR="00532C63" w:rsidRPr="00532C63" w:rsidRDefault="00532C63" w:rsidP="00532C63">
      <w:pPr>
        <w:numPr>
          <w:ilvl w:val="1"/>
          <w:numId w:val="37"/>
        </w:numPr>
      </w:pPr>
      <w:r w:rsidRPr="00532C63">
        <w:t>Personelin Anti-</w:t>
      </w:r>
      <w:proofErr w:type="spellStart"/>
      <w:r w:rsidRPr="00532C63">
        <w:t>HBs</w:t>
      </w:r>
      <w:proofErr w:type="spellEnd"/>
      <w:r w:rsidRPr="00532C63">
        <w:t xml:space="preserve"> sonucu pozitif ve </w:t>
      </w:r>
      <w:proofErr w:type="spellStart"/>
      <w:r w:rsidRPr="00532C63">
        <w:t>titresi</w:t>
      </w:r>
      <w:proofErr w:type="spellEnd"/>
      <w:r w:rsidRPr="00532C63">
        <w:t xml:space="preserve"> ≥10 IU/L ise Hepatit B’ye karşı bağışık kabul edilir ve ek müdahaleye gerek yoktur.</w:t>
      </w:r>
    </w:p>
    <w:p w14:paraId="521A0B0B" w14:textId="77777777" w:rsidR="00532C63" w:rsidRPr="00532C63" w:rsidRDefault="00532C63" w:rsidP="00532C63">
      <w:pPr>
        <w:numPr>
          <w:ilvl w:val="1"/>
          <w:numId w:val="37"/>
        </w:numPr>
      </w:pPr>
      <w:r w:rsidRPr="00532C63">
        <w:t>Personelin Anti-</w:t>
      </w:r>
      <w:proofErr w:type="spellStart"/>
      <w:r w:rsidRPr="00532C63">
        <w:t>HBs</w:t>
      </w:r>
      <w:proofErr w:type="spellEnd"/>
      <w:r w:rsidRPr="00532C63">
        <w:t xml:space="preserve"> sonucu negatif veya </w:t>
      </w:r>
      <w:proofErr w:type="spellStart"/>
      <w:r w:rsidRPr="00532C63">
        <w:t>titresi</w:t>
      </w:r>
      <w:proofErr w:type="spellEnd"/>
      <w:r w:rsidRPr="00532C63">
        <w:t xml:space="preserve"> &lt;10 IU/L ise, </w:t>
      </w:r>
      <w:proofErr w:type="spellStart"/>
      <w:r w:rsidRPr="00532C63">
        <w:t>maruziyetin</w:t>
      </w:r>
      <w:proofErr w:type="spellEnd"/>
      <w:r w:rsidRPr="00532C63">
        <w:t xml:space="preserve"> ardından tercihen ilk 48 saat, en geç bir hafta içinde kişiye Hepatit B </w:t>
      </w:r>
      <w:proofErr w:type="spellStart"/>
      <w:r w:rsidRPr="00532C63">
        <w:t>immünglobulin</w:t>
      </w:r>
      <w:proofErr w:type="spellEnd"/>
      <w:r w:rsidRPr="00532C63">
        <w:t xml:space="preserve"> (HBIG) ve Hepatit B aşısı (0, 1, 2 ve 12. ay şeması ile) birlikte uygulanmalıdır.</w:t>
      </w:r>
    </w:p>
    <w:p w14:paraId="4C267C23" w14:textId="77777777" w:rsidR="00532C63" w:rsidRPr="00532C63" w:rsidRDefault="00532C63" w:rsidP="00532C63">
      <w:pPr>
        <w:numPr>
          <w:ilvl w:val="0"/>
          <w:numId w:val="37"/>
        </w:numPr>
      </w:pPr>
      <w:r w:rsidRPr="00532C63">
        <w:rPr>
          <w:b/>
          <w:bCs/>
        </w:rPr>
        <w:t xml:space="preserve">6.4.3. Hepatit C (HCV) </w:t>
      </w:r>
      <w:proofErr w:type="spellStart"/>
      <w:r w:rsidRPr="00532C63">
        <w:rPr>
          <w:b/>
          <w:bCs/>
        </w:rPr>
        <w:t>Profilaksisi</w:t>
      </w:r>
      <w:proofErr w:type="spellEnd"/>
      <w:r w:rsidRPr="00532C63">
        <w:rPr>
          <w:b/>
          <w:bCs/>
        </w:rPr>
        <w:t>:</w:t>
      </w:r>
    </w:p>
    <w:p w14:paraId="7B752E11" w14:textId="77777777" w:rsidR="00532C63" w:rsidRPr="00532C63" w:rsidRDefault="00532C63" w:rsidP="00532C63">
      <w:pPr>
        <w:numPr>
          <w:ilvl w:val="1"/>
          <w:numId w:val="37"/>
        </w:numPr>
      </w:pPr>
      <w:r w:rsidRPr="00532C63">
        <w:t xml:space="preserve">Kaynak kişide HCV saptanması durumunda, uygulanacak genel kabul görmüş bir </w:t>
      </w:r>
      <w:proofErr w:type="spellStart"/>
      <w:r w:rsidRPr="00532C63">
        <w:t>profilaktik</w:t>
      </w:r>
      <w:proofErr w:type="spellEnd"/>
      <w:r w:rsidRPr="00532C63">
        <w:t xml:space="preserve"> tedavi yöntemi yoktur. Personel takip programına alınır.</w:t>
      </w:r>
    </w:p>
    <w:p w14:paraId="59753CD5" w14:textId="77777777" w:rsidR="00532C63" w:rsidRPr="00532C63" w:rsidRDefault="00532C63" w:rsidP="00532C63">
      <w:pPr>
        <w:numPr>
          <w:ilvl w:val="0"/>
          <w:numId w:val="37"/>
        </w:numPr>
      </w:pPr>
      <w:r w:rsidRPr="00532C63">
        <w:rPr>
          <w:b/>
          <w:bCs/>
        </w:rPr>
        <w:t xml:space="preserve">6.4.4. HIV </w:t>
      </w:r>
      <w:proofErr w:type="spellStart"/>
      <w:r w:rsidRPr="00532C63">
        <w:rPr>
          <w:b/>
          <w:bCs/>
        </w:rPr>
        <w:t>Profilaksisi</w:t>
      </w:r>
      <w:proofErr w:type="spellEnd"/>
      <w:r w:rsidRPr="00532C63">
        <w:rPr>
          <w:b/>
          <w:bCs/>
        </w:rPr>
        <w:t>:</w:t>
      </w:r>
    </w:p>
    <w:p w14:paraId="01AB9E8F" w14:textId="77777777" w:rsidR="00532C63" w:rsidRPr="00532C63" w:rsidRDefault="00532C63" w:rsidP="00532C63">
      <w:pPr>
        <w:numPr>
          <w:ilvl w:val="1"/>
          <w:numId w:val="37"/>
        </w:numPr>
      </w:pPr>
      <w:r w:rsidRPr="00532C63">
        <w:t xml:space="preserve">Kaynak kişide HIV saptanması durumunda, yaralanan personel </w:t>
      </w:r>
      <w:proofErr w:type="spellStart"/>
      <w:r w:rsidRPr="00532C63">
        <w:t>antiretroviral</w:t>
      </w:r>
      <w:proofErr w:type="spellEnd"/>
      <w:r w:rsidRPr="00532C63">
        <w:t xml:space="preserve"> </w:t>
      </w:r>
      <w:proofErr w:type="spellStart"/>
      <w:r w:rsidRPr="00532C63">
        <w:t>profilaksi</w:t>
      </w:r>
      <w:proofErr w:type="spellEnd"/>
      <w:r w:rsidRPr="00532C63">
        <w:t xml:space="preserve"> uygulanması için ilk müdahaleden sonra hemen ilgili enfeksiyon hastalıkları uzmanına yönlendirilir. 1, 3 ve 6. aylarda ELİSA testi ile kontrolleri yapılır.</w:t>
      </w:r>
    </w:p>
    <w:p w14:paraId="2FEE8BFF" w14:textId="77777777" w:rsidR="00532C63" w:rsidRPr="00532C63" w:rsidRDefault="00532C63" w:rsidP="00532C63">
      <w:pPr>
        <w:numPr>
          <w:ilvl w:val="0"/>
          <w:numId w:val="37"/>
        </w:numPr>
      </w:pPr>
      <w:r w:rsidRPr="00532C63">
        <w:rPr>
          <w:b/>
          <w:bCs/>
        </w:rPr>
        <w:t xml:space="preserve">6.4.5. </w:t>
      </w:r>
      <w:proofErr w:type="spellStart"/>
      <w:r w:rsidRPr="00532C63">
        <w:rPr>
          <w:b/>
          <w:bCs/>
        </w:rPr>
        <w:t>Tetanoz</w:t>
      </w:r>
      <w:proofErr w:type="spellEnd"/>
      <w:r w:rsidRPr="00532C63">
        <w:rPr>
          <w:b/>
          <w:bCs/>
        </w:rPr>
        <w:t xml:space="preserve"> Değerlendirmesi:</w:t>
      </w:r>
    </w:p>
    <w:p w14:paraId="6D7D8A61" w14:textId="77777777" w:rsidR="00532C63" w:rsidRPr="00532C63" w:rsidRDefault="00532C63" w:rsidP="00532C63">
      <w:pPr>
        <w:numPr>
          <w:ilvl w:val="1"/>
          <w:numId w:val="37"/>
        </w:numPr>
      </w:pPr>
      <w:r w:rsidRPr="00532C63">
        <w:t xml:space="preserve">Maruz kalan personelin </w:t>
      </w:r>
      <w:proofErr w:type="spellStart"/>
      <w:r w:rsidRPr="00532C63">
        <w:t>tetanoz</w:t>
      </w:r>
      <w:proofErr w:type="spellEnd"/>
      <w:r w:rsidRPr="00532C63">
        <w:t xml:space="preserve"> bağışıklama durumu sorgulanmalıdır.</w:t>
      </w:r>
    </w:p>
    <w:p w14:paraId="0432ACCB" w14:textId="77777777" w:rsidR="00532C63" w:rsidRPr="00532C63" w:rsidRDefault="00532C63" w:rsidP="00532C63">
      <w:pPr>
        <w:numPr>
          <w:ilvl w:val="1"/>
          <w:numId w:val="37"/>
        </w:numPr>
      </w:pPr>
      <w:r w:rsidRPr="00532C63">
        <w:lastRenderedPageBreak/>
        <w:t xml:space="preserve">Daha önce aşılanmamış veya aşı şeması eksik olan kişilere, ilk doz </w:t>
      </w:r>
      <w:proofErr w:type="spellStart"/>
      <w:r w:rsidRPr="00532C63">
        <w:t>tetanoz</w:t>
      </w:r>
      <w:proofErr w:type="spellEnd"/>
      <w:r w:rsidRPr="00532C63">
        <w:t xml:space="preserve"> aşısı uygulanmalı ve yaranın durumuna göre </w:t>
      </w:r>
      <w:proofErr w:type="spellStart"/>
      <w:r w:rsidRPr="00532C63">
        <w:t>immünglobulin</w:t>
      </w:r>
      <w:proofErr w:type="spellEnd"/>
      <w:r w:rsidRPr="00532C63">
        <w:t xml:space="preserve"> uygulaması için İşyeri Hekimine danışılmalıdır.</w:t>
      </w:r>
    </w:p>
    <w:p w14:paraId="271B9D79" w14:textId="77777777" w:rsidR="00532C63" w:rsidRPr="00532C63" w:rsidRDefault="00532C63" w:rsidP="00532C63">
      <w:pPr>
        <w:numPr>
          <w:ilvl w:val="1"/>
          <w:numId w:val="37"/>
        </w:numPr>
      </w:pPr>
      <w:proofErr w:type="spellStart"/>
      <w:r w:rsidRPr="00532C63">
        <w:t>Primer</w:t>
      </w:r>
      <w:proofErr w:type="spellEnd"/>
      <w:r w:rsidRPr="00532C63">
        <w:t xml:space="preserve"> bağışıklama, ilk dozdan 1 ay sonra 2. doz ve 6 ay sonra 3. doz ile tamamlanmalı, toplam 5 dozluk şema hedeflenmelidir.</w:t>
      </w:r>
    </w:p>
    <w:p w14:paraId="6974E77F" w14:textId="77777777" w:rsidR="00532C63" w:rsidRPr="00532C63" w:rsidRDefault="00532C63" w:rsidP="00532C63">
      <w:pPr>
        <w:numPr>
          <w:ilvl w:val="1"/>
          <w:numId w:val="37"/>
        </w:numPr>
      </w:pPr>
      <w:r w:rsidRPr="00532C63">
        <w:t xml:space="preserve">Daha önce aşılanmış kişiler için yaranın tipi ve son dozun üzerinden geçen süre dikkate alınarak </w:t>
      </w:r>
      <w:proofErr w:type="spellStart"/>
      <w:r w:rsidRPr="00532C63">
        <w:t>rapel</w:t>
      </w:r>
      <w:proofErr w:type="spellEnd"/>
      <w:r w:rsidRPr="00532C63">
        <w:t xml:space="preserve"> (pekiştirme) doz planlaması yapılır.</w:t>
      </w:r>
    </w:p>
    <w:p w14:paraId="44E1EA59" w14:textId="77777777" w:rsidR="00532C63" w:rsidRPr="00532C63" w:rsidRDefault="00532C63" w:rsidP="00532C63">
      <w:r w:rsidRPr="00532C63">
        <w:rPr>
          <w:b/>
          <w:bCs/>
        </w:rPr>
        <w:t>7. İLGİLİ DÖKÜMANLAR</w:t>
      </w:r>
    </w:p>
    <w:p w14:paraId="29E831CC" w14:textId="77777777" w:rsidR="00532C63" w:rsidRPr="00532C63" w:rsidRDefault="00532C63" w:rsidP="00532C63">
      <w:pPr>
        <w:numPr>
          <w:ilvl w:val="0"/>
          <w:numId w:val="38"/>
        </w:numPr>
      </w:pPr>
      <w:r w:rsidRPr="00532C63">
        <w:t>Kesici Delici Alet Yaralanmaları Bildirim Formu</w:t>
      </w:r>
    </w:p>
    <w:p w14:paraId="4BCB344D" w14:textId="77777777" w:rsidR="00532C63" w:rsidRPr="00532C63" w:rsidRDefault="00532C63" w:rsidP="00532C63">
      <w:pPr>
        <w:numPr>
          <w:ilvl w:val="0"/>
          <w:numId w:val="38"/>
        </w:numPr>
      </w:pPr>
      <w:r w:rsidRPr="00532C63">
        <w:t>İstenmeyen Olay Bildirim Formu</w:t>
      </w:r>
    </w:p>
    <w:p w14:paraId="4DA25BF8" w14:textId="77777777" w:rsidR="00532C63" w:rsidRPr="00532C63" w:rsidRDefault="00532C63" w:rsidP="00532C63">
      <w:pPr>
        <w:numPr>
          <w:ilvl w:val="0"/>
          <w:numId w:val="38"/>
        </w:numPr>
      </w:pPr>
      <w:r w:rsidRPr="00532C63">
        <w:t>İzolasyon Önlemleri Talimatı</w:t>
      </w:r>
    </w:p>
    <w:p w14:paraId="68AF0572" w14:textId="101B24DB" w:rsidR="00532C63" w:rsidRDefault="00532C63" w:rsidP="00532C63">
      <w:pPr>
        <w:numPr>
          <w:ilvl w:val="0"/>
          <w:numId w:val="38"/>
        </w:numPr>
      </w:pPr>
      <w:r w:rsidRPr="00532C63">
        <w:t>Atık Yönetim Talimatı</w:t>
      </w:r>
    </w:p>
    <w:p w14:paraId="7C619A28" w14:textId="4763DE00" w:rsidR="00E2660E" w:rsidRDefault="00E2660E" w:rsidP="00E2660E">
      <w:pPr>
        <w:ind w:left="720"/>
      </w:pPr>
    </w:p>
    <w:p w14:paraId="5D488E60" w14:textId="438AD3B0" w:rsidR="00E2660E" w:rsidRDefault="00E2660E" w:rsidP="00E2660E">
      <w:pPr>
        <w:ind w:left="720"/>
      </w:pPr>
    </w:p>
    <w:p w14:paraId="3FE7E679" w14:textId="77777777" w:rsidR="00E2660E" w:rsidRPr="00532C63" w:rsidRDefault="00E2660E" w:rsidP="00E2660E">
      <w:pPr>
        <w:ind w:left="720"/>
      </w:pPr>
      <w:bookmarkStart w:id="0" w:name="_GoBack"/>
      <w:bookmarkEnd w:id="0"/>
    </w:p>
    <w:p w14:paraId="3F4DDD3B" w14:textId="77777777" w:rsidR="00E736DD" w:rsidRPr="00532C63" w:rsidRDefault="00E736DD" w:rsidP="00532C63"/>
    <w:sectPr w:rsidR="00E736DD" w:rsidRPr="00532C6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B6493" w14:textId="77777777" w:rsidR="008D120C" w:rsidRDefault="008D120C" w:rsidP="00E2660E">
      <w:pPr>
        <w:spacing w:after="0" w:line="240" w:lineRule="auto"/>
      </w:pPr>
      <w:r>
        <w:separator/>
      </w:r>
    </w:p>
  </w:endnote>
  <w:endnote w:type="continuationSeparator" w:id="0">
    <w:p w14:paraId="71EE8DC3" w14:textId="77777777" w:rsidR="008D120C" w:rsidRDefault="008D120C" w:rsidP="00E26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F487B" w14:textId="77777777" w:rsidR="008D120C" w:rsidRDefault="008D120C" w:rsidP="00E2660E">
      <w:pPr>
        <w:spacing w:after="0" w:line="240" w:lineRule="auto"/>
      </w:pPr>
      <w:r>
        <w:separator/>
      </w:r>
    </w:p>
  </w:footnote>
  <w:footnote w:type="continuationSeparator" w:id="0">
    <w:p w14:paraId="10F45B75" w14:textId="77777777" w:rsidR="008D120C" w:rsidRDefault="008D120C" w:rsidP="00E266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1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80"/>
      <w:gridCol w:w="2504"/>
      <w:gridCol w:w="2362"/>
      <w:gridCol w:w="2363"/>
      <w:gridCol w:w="1701"/>
    </w:tblGrid>
    <w:tr w:rsidR="00E2660E" w:rsidRPr="00FC2433" w14:paraId="55D9DD88" w14:textId="77777777" w:rsidTr="00B1528F">
      <w:trPr>
        <w:trHeight w:val="1072"/>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1CABBECC" w14:textId="77777777" w:rsidR="00E2660E" w:rsidRPr="00FC2433" w:rsidRDefault="00E2660E" w:rsidP="00E2660E">
          <w:pPr>
            <w:pStyle w:val="stBilgi"/>
          </w:pPr>
          <w:r w:rsidRPr="00FC2433">
            <w:rPr>
              <w:noProof/>
            </w:rPr>
            <w:drawing>
              <wp:anchor distT="0" distB="0" distL="114300" distR="114300" simplePos="0" relativeHeight="251659264" behindDoc="1" locked="0" layoutInCell="1" allowOverlap="1" wp14:anchorId="0FDEFC83" wp14:editId="7889E110">
                <wp:simplePos x="0" y="0"/>
                <wp:positionH relativeFrom="column">
                  <wp:posOffset>208915</wp:posOffset>
                </wp:positionH>
                <wp:positionV relativeFrom="paragraph">
                  <wp:posOffset>3810</wp:posOffset>
                </wp:positionV>
                <wp:extent cx="647700" cy="638175"/>
                <wp:effectExtent l="0" t="0" r="0" b="9525"/>
                <wp:wrapTight wrapText="bothSides">
                  <wp:wrapPolygon edited="0">
                    <wp:start x="5718" y="0"/>
                    <wp:lineTo x="0" y="3869"/>
                    <wp:lineTo x="0" y="16119"/>
                    <wp:lineTo x="4447" y="20633"/>
                    <wp:lineTo x="5718" y="21278"/>
                    <wp:lineTo x="15247" y="21278"/>
                    <wp:lineTo x="16518" y="20633"/>
                    <wp:lineTo x="20965" y="16119"/>
                    <wp:lineTo x="20965" y="3869"/>
                    <wp:lineTo x="15247" y="0"/>
                    <wp:lineTo x="5718" y="0"/>
                  </wp:wrapPolygon>
                </wp:wrapTight>
                <wp:docPr id="13" name="Resim 13" descr="aibu_dis_logo"/>
                <wp:cNvGraphicFramePr/>
                <a:graphic xmlns:a="http://schemas.openxmlformats.org/drawingml/2006/main">
                  <a:graphicData uri="http://schemas.openxmlformats.org/drawingml/2006/picture">
                    <pic:pic xmlns:pic="http://schemas.openxmlformats.org/drawingml/2006/picture">
                      <pic:nvPicPr>
                        <pic:cNvPr id="0" name="Resim 1" descr="aibu_dis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6381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7229" w:type="dxa"/>
          <w:gridSpan w:val="3"/>
          <w:tcBorders>
            <w:top w:val="single" w:sz="4" w:space="0" w:color="auto"/>
            <w:left w:val="single" w:sz="4" w:space="0" w:color="auto"/>
            <w:bottom w:val="single" w:sz="4" w:space="0" w:color="auto"/>
            <w:right w:val="single" w:sz="4" w:space="0" w:color="auto"/>
          </w:tcBorders>
          <w:vAlign w:val="center"/>
          <w:hideMark/>
        </w:tcPr>
        <w:p w14:paraId="03C3546E" w14:textId="77777777" w:rsidR="00E2660E" w:rsidRPr="00FC2433" w:rsidRDefault="00E2660E" w:rsidP="00E2660E">
          <w:pPr>
            <w:pStyle w:val="stBilgi"/>
            <w:jc w:val="center"/>
            <w:rPr>
              <w:b/>
            </w:rPr>
          </w:pPr>
          <w:r w:rsidRPr="00FC2433">
            <w:rPr>
              <w:b/>
            </w:rPr>
            <w:t>BOLU ABANT İZZET BAYSAL ÜNİVERSİTESİ DİŞ HEKİMLİĞİ FAKÜLTESİ</w:t>
          </w:r>
        </w:p>
        <w:p w14:paraId="778ABBE7" w14:textId="6A330C39" w:rsidR="00E2660E" w:rsidRPr="00FC2433" w:rsidRDefault="00E2660E" w:rsidP="00E2660E">
          <w:pPr>
            <w:spacing w:after="0" w:line="259" w:lineRule="auto"/>
            <w:ind w:right="9"/>
            <w:jc w:val="center"/>
          </w:pPr>
          <w:r>
            <w:rPr>
              <w:b/>
              <w:sz w:val="22"/>
            </w:rPr>
            <w:t>KESİCİ-DELİCİ ALETLER İLE GÜVENLİ ÇALIŞMA</w:t>
          </w:r>
          <w:r>
            <w:rPr>
              <w:b/>
              <w:sz w:val="22"/>
            </w:rPr>
            <w:t xml:space="preserve"> </w:t>
          </w:r>
          <w:r>
            <w:rPr>
              <w:b/>
              <w:sz w:val="22"/>
            </w:rPr>
            <w:t>TALİMATI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05772BF" w14:textId="77777777" w:rsidR="00E2660E" w:rsidRPr="00FC2433" w:rsidRDefault="00E2660E" w:rsidP="00E2660E">
          <w:pPr>
            <w:pStyle w:val="stBilgi"/>
          </w:pPr>
          <w:r w:rsidRPr="00FC2433">
            <w:rPr>
              <w:noProof/>
            </w:rPr>
            <w:drawing>
              <wp:anchor distT="0" distB="0" distL="114300" distR="114300" simplePos="0" relativeHeight="251660288" behindDoc="0" locked="0" layoutInCell="1" allowOverlap="1" wp14:anchorId="5C8C1AD9" wp14:editId="05EED060">
                <wp:simplePos x="0" y="0"/>
                <wp:positionH relativeFrom="column">
                  <wp:posOffset>97790</wp:posOffset>
                </wp:positionH>
                <wp:positionV relativeFrom="paragraph">
                  <wp:posOffset>-1270</wp:posOffset>
                </wp:positionV>
                <wp:extent cx="733425" cy="608330"/>
                <wp:effectExtent l="0" t="0" r="9525" b="1270"/>
                <wp:wrapNone/>
                <wp:docPr id="14" name="Resim 1" descr="C:\Users\Aidata\Downloads\birincilogo_3559696.png"/>
                <wp:cNvGraphicFramePr/>
                <a:graphic xmlns:a="http://schemas.openxmlformats.org/drawingml/2006/main">
                  <a:graphicData uri="http://schemas.openxmlformats.org/drawingml/2006/picture">
                    <pic:pic xmlns:pic="http://schemas.openxmlformats.org/drawingml/2006/picture">
                      <pic:nvPicPr>
                        <pic:cNvPr id="0" name="Picture 1" descr="C:\Users\Aidata\Downloads\birincilogo_3559696.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33425" cy="6083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E2660E" w:rsidRPr="00FC2433" w14:paraId="51B24D2C" w14:textId="77777777" w:rsidTr="00B1528F">
      <w:trPr>
        <w:trHeight w:val="285"/>
        <w:jc w:val="center"/>
      </w:trPr>
      <w:tc>
        <w:tcPr>
          <w:tcW w:w="1980" w:type="dxa"/>
          <w:tcBorders>
            <w:top w:val="single" w:sz="4" w:space="0" w:color="auto"/>
            <w:left w:val="single" w:sz="4" w:space="0" w:color="auto"/>
            <w:bottom w:val="single" w:sz="4" w:space="0" w:color="auto"/>
            <w:right w:val="single" w:sz="4" w:space="0" w:color="auto"/>
          </w:tcBorders>
          <w:hideMark/>
        </w:tcPr>
        <w:p w14:paraId="22148393" w14:textId="77777777" w:rsidR="00E2660E" w:rsidRPr="00E2660E" w:rsidRDefault="00E2660E" w:rsidP="00E2660E">
          <w:pPr>
            <w:pStyle w:val="stBilgi"/>
            <w:jc w:val="center"/>
            <w:rPr>
              <w:rFonts w:ascii="Calibri" w:hAnsi="Calibri" w:cs="Calibri"/>
              <w:sz w:val="22"/>
              <w:szCs w:val="22"/>
            </w:rPr>
          </w:pPr>
          <w:r w:rsidRPr="00E2660E">
            <w:rPr>
              <w:rFonts w:ascii="Calibri" w:hAnsi="Calibri" w:cs="Calibri"/>
              <w:sz w:val="22"/>
              <w:szCs w:val="22"/>
            </w:rPr>
            <w:t>DOKÜMAN KODU</w:t>
          </w:r>
        </w:p>
      </w:tc>
      <w:tc>
        <w:tcPr>
          <w:tcW w:w="2504" w:type="dxa"/>
          <w:tcBorders>
            <w:top w:val="single" w:sz="4" w:space="0" w:color="auto"/>
            <w:left w:val="single" w:sz="4" w:space="0" w:color="auto"/>
            <w:bottom w:val="single" w:sz="4" w:space="0" w:color="auto"/>
            <w:right w:val="single" w:sz="4" w:space="0" w:color="auto"/>
          </w:tcBorders>
          <w:hideMark/>
        </w:tcPr>
        <w:p w14:paraId="080857BA" w14:textId="77777777" w:rsidR="00E2660E" w:rsidRPr="00E2660E" w:rsidRDefault="00E2660E" w:rsidP="00E2660E">
          <w:pPr>
            <w:pStyle w:val="stBilgi"/>
            <w:jc w:val="center"/>
            <w:rPr>
              <w:rFonts w:ascii="Calibri" w:hAnsi="Calibri" w:cs="Calibri"/>
              <w:sz w:val="22"/>
              <w:szCs w:val="22"/>
            </w:rPr>
          </w:pPr>
          <w:r w:rsidRPr="00E2660E">
            <w:rPr>
              <w:rFonts w:ascii="Calibri" w:hAnsi="Calibri" w:cs="Calibri"/>
              <w:sz w:val="22"/>
              <w:szCs w:val="22"/>
            </w:rPr>
            <w:t>YAYIN TARİHİ</w:t>
          </w:r>
        </w:p>
      </w:tc>
      <w:tc>
        <w:tcPr>
          <w:tcW w:w="2362" w:type="dxa"/>
          <w:tcBorders>
            <w:top w:val="single" w:sz="4" w:space="0" w:color="auto"/>
            <w:left w:val="single" w:sz="4" w:space="0" w:color="auto"/>
            <w:bottom w:val="single" w:sz="4" w:space="0" w:color="auto"/>
            <w:right w:val="single" w:sz="4" w:space="0" w:color="auto"/>
          </w:tcBorders>
          <w:hideMark/>
        </w:tcPr>
        <w:p w14:paraId="431A2C53" w14:textId="77777777" w:rsidR="00E2660E" w:rsidRPr="00E2660E" w:rsidRDefault="00E2660E" w:rsidP="00E2660E">
          <w:pPr>
            <w:pStyle w:val="stBilgi"/>
            <w:jc w:val="center"/>
            <w:rPr>
              <w:rFonts w:ascii="Calibri" w:hAnsi="Calibri" w:cs="Calibri"/>
              <w:sz w:val="22"/>
              <w:szCs w:val="22"/>
            </w:rPr>
          </w:pPr>
          <w:r w:rsidRPr="00E2660E">
            <w:rPr>
              <w:rFonts w:ascii="Calibri" w:hAnsi="Calibri" w:cs="Calibri"/>
              <w:sz w:val="22"/>
              <w:szCs w:val="22"/>
            </w:rPr>
            <w:t>REVİZYON NO</w:t>
          </w:r>
        </w:p>
      </w:tc>
      <w:tc>
        <w:tcPr>
          <w:tcW w:w="2363" w:type="dxa"/>
          <w:tcBorders>
            <w:top w:val="single" w:sz="4" w:space="0" w:color="auto"/>
            <w:left w:val="single" w:sz="4" w:space="0" w:color="auto"/>
            <w:bottom w:val="single" w:sz="4" w:space="0" w:color="auto"/>
            <w:right w:val="single" w:sz="4" w:space="0" w:color="auto"/>
          </w:tcBorders>
          <w:hideMark/>
        </w:tcPr>
        <w:p w14:paraId="5E233701" w14:textId="77777777" w:rsidR="00E2660E" w:rsidRPr="00E2660E" w:rsidRDefault="00E2660E" w:rsidP="00E2660E">
          <w:pPr>
            <w:pStyle w:val="stBilgi"/>
            <w:jc w:val="center"/>
            <w:rPr>
              <w:rFonts w:ascii="Calibri" w:hAnsi="Calibri" w:cs="Calibri"/>
              <w:sz w:val="22"/>
              <w:szCs w:val="22"/>
            </w:rPr>
          </w:pPr>
          <w:r w:rsidRPr="00E2660E">
            <w:rPr>
              <w:rFonts w:ascii="Calibri" w:hAnsi="Calibri" w:cs="Calibri"/>
              <w:sz w:val="22"/>
              <w:szCs w:val="22"/>
            </w:rPr>
            <w:t>REVİZYON TARİHİ</w:t>
          </w:r>
        </w:p>
      </w:tc>
      <w:tc>
        <w:tcPr>
          <w:tcW w:w="1701" w:type="dxa"/>
          <w:tcBorders>
            <w:top w:val="single" w:sz="4" w:space="0" w:color="auto"/>
            <w:left w:val="single" w:sz="4" w:space="0" w:color="auto"/>
            <w:bottom w:val="single" w:sz="4" w:space="0" w:color="auto"/>
            <w:right w:val="single" w:sz="4" w:space="0" w:color="auto"/>
          </w:tcBorders>
          <w:hideMark/>
        </w:tcPr>
        <w:p w14:paraId="08020CD0" w14:textId="77777777" w:rsidR="00E2660E" w:rsidRPr="00E2660E" w:rsidRDefault="00E2660E" w:rsidP="00E2660E">
          <w:pPr>
            <w:pStyle w:val="stBilgi"/>
            <w:jc w:val="center"/>
            <w:rPr>
              <w:rFonts w:ascii="Calibri" w:hAnsi="Calibri" w:cs="Calibri"/>
              <w:sz w:val="22"/>
              <w:szCs w:val="22"/>
            </w:rPr>
          </w:pPr>
          <w:r w:rsidRPr="00E2660E">
            <w:rPr>
              <w:rFonts w:ascii="Calibri" w:hAnsi="Calibri" w:cs="Calibri"/>
              <w:sz w:val="22"/>
              <w:szCs w:val="22"/>
            </w:rPr>
            <w:t>SAYFA NO</w:t>
          </w:r>
        </w:p>
      </w:tc>
    </w:tr>
    <w:tr w:rsidR="00E2660E" w:rsidRPr="00FC2433" w14:paraId="74057178" w14:textId="77777777" w:rsidTr="00B1528F">
      <w:trPr>
        <w:trHeight w:val="121"/>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40476102" w14:textId="12883C30" w:rsidR="00E2660E" w:rsidRPr="00E2660E" w:rsidRDefault="00E2660E" w:rsidP="00E2660E">
          <w:pPr>
            <w:pStyle w:val="stBilgi"/>
            <w:jc w:val="center"/>
            <w:rPr>
              <w:rFonts w:ascii="Calibri" w:hAnsi="Calibri" w:cs="Calibri"/>
              <w:sz w:val="22"/>
              <w:szCs w:val="22"/>
            </w:rPr>
          </w:pPr>
          <w:r>
            <w:rPr>
              <w:rFonts w:ascii="Calibri" w:hAnsi="Calibri" w:cs="Calibri"/>
              <w:sz w:val="22"/>
              <w:szCs w:val="22"/>
            </w:rPr>
            <w:t>SEN.TL</w:t>
          </w:r>
          <w:r w:rsidRPr="00E2660E">
            <w:rPr>
              <w:rFonts w:ascii="Calibri" w:hAnsi="Calibri" w:cs="Calibri"/>
              <w:sz w:val="22"/>
              <w:szCs w:val="22"/>
            </w:rPr>
            <w:t>.04</w:t>
          </w:r>
        </w:p>
      </w:tc>
      <w:tc>
        <w:tcPr>
          <w:tcW w:w="2504" w:type="dxa"/>
          <w:tcBorders>
            <w:top w:val="single" w:sz="4" w:space="0" w:color="auto"/>
            <w:left w:val="single" w:sz="4" w:space="0" w:color="auto"/>
            <w:bottom w:val="single" w:sz="4" w:space="0" w:color="auto"/>
            <w:right w:val="single" w:sz="4" w:space="0" w:color="auto"/>
          </w:tcBorders>
          <w:vAlign w:val="center"/>
          <w:hideMark/>
        </w:tcPr>
        <w:p w14:paraId="0D616345" w14:textId="78BD59EB" w:rsidR="00E2660E" w:rsidRPr="00E2660E" w:rsidRDefault="00E2660E" w:rsidP="00E2660E">
          <w:pPr>
            <w:pStyle w:val="stBilgi"/>
            <w:jc w:val="center"/>
            <w:rPr>
              <w:rFonts w:ascii="Calibri" w:hAnsi="Calibri" w:cs="Calibri"/>
              <w:sz w:val="22"/>
              <w:szCs w:val="22"/>
            </w:rPr>
          </w:pPr>
          <w:r>
            <w:rPr>
              <w:rFonts w:ascii="Calibri" w:hAnsi="Calibri" w:cs="Calibri"/>
              <w:sz w:val="22"/>
              <w:szCs w:val="22"/>
            </w:rPr>
            <w:t>07.05.2018</w:t>
          </w:r>
        </w:p>
      </w:tc>
      <w:tc>
        <w:tcPr>
          <w:tcW w:w="2362" w:type="dxa"/>
          <w:tcBorders>
            <w:top w:val="single" w:sz="4" w:space="0" w:color="auto"/>
            <w:left w:val="single" w:sz="4" w:space="0" w:color="auto"/>
            <w:bottom w:val="single" w:sz="4" w:space="0" w:color="auto"/>
            <w:right w:val="single" w:sz="4" w:space="0" w:color="auto"/>
          </w:tcBorders>
          <w:vAlign w:val="center"/>
          <w:hideMark/>
        </w:tcPr>
        <w:p w14:paraId="6C2A03DD" w14:textId="1EACFDB5" w:rsidR="00E2660E" w:rsidRPr="00E2660E" w:rsidRDefault="00E2660E" w:rsidP="00E2660E">
          <w:pPr>
            <w:pStyle w:val="stBilgi"/>
            <w:jc w:val="center"/>
            <w:rPr>
              <w:rFonts w:ascii="Calibri" w:hAnsi="Calibri" w:cs="Calibri"/>
              <w:sz w:val="22"/>
              <w:szCs w:val="22"/>
            </w:rPr>
          </w:pPr>
          <w:r>
            <w:rPr>
              <w:rFonts w:ascii="Calibri" w:hAnsi="Calibri" w:cs="Calibri"/>
              <w:sz w:val="22"/>
              <w:szCs w:val="22"/>
            </w:rPr>
            <w:t>1</w:t>
          </w:r>
        </w:p>
      </w:tc>
      <w:tc>
        <w:tcPr>
          <w:tcW w:w="2363" w:type="dxa"/>
          <w:tcBorders>
            <w:top w:val="single" w:sz="4" w:space="0" w:color="auto"/>
            <w:left w:val="single" w:sz="4" w:space="0" w:color="auto"/>
            <w:bottom w:val="single" w:sz="4" w:space="0" w:color="auto"/>
            <w:right w:val="single" w:sz="4" w:space="0" w:color="auto"/>
          </w:tcBorders>
          <w:vAlign w:val="center"/>
          <w:hideMark/>
        </w:tcPr>
        <w:p w14:paraId="22E31F29" w14:textId="6EC590BC" w:rsidR="00E2660E" w:rsidRPr="00E2660E" w:rsidRDefault="00E2660E" w:rsidP="00E2660E">
          <w:pPr>
            <w:pStyle w:val="stBilgi"/>
            <w:jc w:val="center"/>
            <w:rPr>
              <w:rFonts w:ascii="Calibri" w:hAnsi="Calibri" w:cs="Calibri"/>
              <w:sz w:val="22"/>
              <w:szCs w:val="22"/>
            </w:rPr>
          </w:pPr>
          <w:r>
            <w:rPr>
              <w:rFonts w:ascii="Calibri" w:hAnsi="Calibri" w:cs="Calibri"/>
              <w:sz w:val="22"/>
              <w:szCs w:val="22"/>
            </w:rPr>
            <w:t>15.09.2025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E2F34B1" w14:textId="77777777" w:rsidR="00E2660E" w:rsidRPr="00E2660E" w:rsidRDefault="00E2660E" w:rsidP="00E2660E">
          <w:pPr>
            <w:pStyle w:val="stBilgi"/>
            <w:jc w:val="center"/>
            <w:rPr>
              <w:rFonts w:ascii="Calibri" w:hAnsi="Calibri" w:cs="Calibri"/>
              <w:sz w:val="22"/>
              <w:szCs w:val="22"/>
            </w:rPr>
          </w:pPr>
          <w:r w:rsidRPr="00E2660E">
            <w:rPr>
              <w:rFonts w:ascii="Calibri" w:hAnsi="Calibri" w:cs="Calibri"/>
              <w:bCs/>
              <w:sz w:val="22"/>
              <w:szCs w:val="22"/>
            </w:rPr>
            <w:fldChar w:fldCharType="begin"/>
          </w:r>
          <w:r w:rsidRPr="00E2660E">
            <w:rPr>
              <w:rFonts w:ascii="Calibri" w:hAnsi="Calibri" w:cs="Calibri"/>
              <w:bCs/>
              <w:sz w:val="22"/>
              <w:szCs w:val="22"/>
            </w:rPr>
            <w:instrText>PAGE  \* Arabic  \* MERGEFORMAT</w:instrText>
          </w:r>
          <w:r w:rsidRPr="00E2660E">
            <w:rPr>
              <w:rFonts w:ascii="Calibri" w:hAnsi="Calibri" w:cs="Calibri"/>
              <w:bCs/>
              <w:sz w:val="22"/>
              <w:szCs w:val="22"/>
            </w:rPr>
            <w:fldChar w:fldCharType="separate"/>
          </w:r>
          <w:r w:rsidRPr="00E2660E">
            <w:rPr>
              <w:rFonts w:ascii="Calibri" w:hAnsi="Calibri" w:cs="Calibri"/>
              <w:bCs/>
              <w:sz w:val="22"/>
              <w:szCs w:val="22"/>
            </w:rPr>
            <w:t>1</w:t>
          </w:r>
          <w:r w:rsidRPr="00E2660E">
            <w:rPr>
              <w:rFonts w:ascii="Calibri" w:hAnsi="Calibri" w:cs="Calibri"/>
              <w:bCs/>
              <w:sz w:val="22"/>
              <w:szCs w:val="22"/>
            </w:rPr>
            <w:fldChar w:fldCharType="end"/>
          </w:r>
          <w:r w:rsidRPr="00E2660E">
            <w:rPr>
              <w:rFonts w:ascii="Calibri" w:hAnsi="Calibri" w:cs="Calibri"/>
              <w:sz w:val="22"/>
              <w:szCs w:val="22"/>
            </w:rPr>
            <w:t xml:space="preserve"> / </w:t>
          </w:r>
          <w:r w:rsidRPr="00E2660E">
            <w:rPr>
              <w:rFonts w:ascii="Calibri" w:hAnsi="Calibri" w:cs="Calibri"/>
              <w:bCs/>
              <w:sz w:val="22"/>
              <w:szCs w:val="22"/>
            </w:rPr>
            <w:fldChar w:fldCharType="begin"/>
          </w:r>
          <w:r w:rsidRPr="00E2660E">
            <w:rPr>
              <w:rFonts w:ascii="Calibri" w:hAnsi="Calibri" w:cs="Calibri"/>
              <w:bCs/>
              <w:sz w:val="22"/>
              <w:szCs w:val="22"/>
            </w:rPr>
            <w:instrText>NUMPAGES  \* Arabic  \* MERGEFORMAT</w:instrText>
          </w:r>
          <w:r w:rsidRPr="00E2660E">
            <w:rPr>
              <w:rFonts w:ascii="Calibri" w:hAnsi="Calibri" w:cs="Calibri"/>
              <w:bCs/>
              <w:sz w:val="22"/>
              <w:szCs w:val="22"/>
            </w:rPr>
            <w:fldChar w:fldCharType="separate"/>
          </w:r>
          <w:r w:rsidRPr="00E2660E">
            <w:rPr>
              <w:rFonts w:ascii="Calibri" w:hAnsi="Calibri" w:cs="Calibri"/>
              <w:bCs/>
              <w:sz w:val="22"/>
              <w:szCs w:val="22"/>
            </w:rPr>
            <w:t>2</w:t>
          </w:r>
          <w:r w:rsidRPr="00E2660E">
            <w:rPr>
              <w:rFonts w:ascii="Calibri" w:hAnsi="Calibri" w:cs="Calibri"/>
              <w:bCs/>
              <w:sz w:val="22"/>
              <w:szCs w:val="22"/>
            </w:rPr>
            <w:fldChar w:fldCharType="end"/>
          </w:r>
        </w:p>
      </w:tc>
    </w:tr>
  </w:tbl>
  <w:p w14:paraId="4272C8B6" w14:textId="77777777" w:rsidR="00E2660E" w:rsidRDefault="00E2660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2201"/>
    <w:multiLevelType w:val="multilevel"/>
    <w:tmpl w:val="7CF8C2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539E8"/>
    <w:multiLevelType w:val="multilevel"/>
    <w:tmpl w:val="85EAF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617ECB"/>
    <w:multiLevelType w:val="multilevel"/>
    <w:tmpl w:val="FD4C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184B1F"/>
    <w:multiLevelType w:val="multilevel"/>
    <w:tmpl w:val="3470F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EA6443"/>
    <w:multiLevelType w:val="multilevel"/>
    <w:tmpl w:val="5B505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0425B6"/>
    <w:multiLevelType w:val="multilevel"/>
    <w:tmpl w:val="FEF6B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73488D"/>
    <w:multiLevelType w:val="multilevel"/>
    <w:tmpl w:val="1C2AE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910FF2"/>
    <w:multiLevelType w:val="multilevel"/>
    <w:tmpl w:val="E6AE3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1349C6"/>
    <w:multiLevelType w:val="multilevel"/>
    <w:tmpl w:val="D93A0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145F4D"/>
    <w:multiLevelType w:val="multilevel"/>
    <w:tmpl w:val="8C28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98490C"/>
    <w:multiLevelType w:val="multilevel"/>
    <w:tmpl w:val="1D1AF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260FCA"/>
    <w:multiLevelType w:val="multilevel"/>
    <w:tmpl w:val="C0564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DB11FE"/>
    <w:multiLevelType w:val="multilevel"/>
    <w:tmpl w:val="F7A0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DC704E"/>
    <w:multiLevelType w:val="multilevel"/>
    <w:tmpl w:val="645CB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6F0F64"/>
    <w:multiLevelType w:val="multilevel"/>
    <w:tmpl w:val="6602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D13E3E"/>
    <w:multiLevelType w:val="multilevel"/>
    <w:tmpl w:val="01B01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BF0EBA"/>
    <w:multiLevelType w:val="multilevel"/>
    <w:tmpl w:val="6D945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A74E57"/>
    <w:multiLevelType w:val="multilevel"/>
    <w:tmpl w:val="5FFE1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CA0ACB"/>
    <w:multiLevelType w:val="multilevel"/>
    <w:tmpl w:val="784A26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893453"/>
    <w:multiLevelType w:val="multilevel"/>
    <w:tmpl w:val="16E4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973870"/>
    <w:multiLevelType w:val="multilevel"/>
    <w:tmpl w:val="D7206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BC0DAA"/>
    <w:multiLevelType w:val="multilevel"/>
    <w:tmpl w:val="D7C8A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AC6E8E"/>
    <w:multiLevelType w:val="multilevel"/>
    <w:tmpl w:val="FFDC5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307026"/>
    <w:multiLevelType w:val="multilevel"/>
    <w:tmpl w:val="86A61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7A0E65"/>
    <w:multiLevelType w:val="multilevel"/>
    <w:tmpl w:val="BED69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9C78CF"/>
    <w:multiLevelType w:val="multilevel"/>
    <w:tmpl w:val="C2305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737A1C"/>
    <w:multiLevelType w:val="multilevel"/>
    <w:tmpl w:val="A0520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4F4973"/>
    <w:multiLevelType w:val="multilevel"/>
    <w:tmpl w:val="2798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AC4FC3"/>
    <w:multiLevelType w:val="multilevel"/>
    <w:tmpl w:val="67CA3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814544"/>
    <w:multiLevelType w:val="multilevel"/>
    <w:tmpl w:val="1332D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421089"/>
    <w:multiLevelType w:val="multilevel"/>
    <w:tmpl w:val="010C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4A39D4"/>
    <w:multiLevelType w:val="multilevel"/>
    <w:tmpl w:val="626E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624E98"/>
    <w:multiLevelType w:val="multilevel"/>
    <w:tmpl w:val="D0863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FA2B76"/>
    <w:multiLevelType w:val="multilevel"/>
    <w:tmpl w:val="32F69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CA6142"/>
    <w:multiLevelType w:val="multilevel"/>
    <w:tmpl w:val="D452E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70474A"/>
    <w:multiLevelType w:val="multilevel"/>
    <w:tmpl w:val="5044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0C6970"/>
    <w:multiLevelType w:val="multilevel"/>
    <w:tmpl w:val="96CE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4B23F4"/>
    <w:multiLevelType w:val="multilevel"/>
    <w:tmpl w:val="E20ED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5"/>
  </w:num>
  <w:num w:numId="3">
    <w:abstractNumId w:val="31"/>
  </w:num>
  <w:num w:numId="4">
    <w:abstractNumId w:val="37"/>
  </w:num>
  <w:num w:numId="5">
    <w:abstractNumId w:val="12"/>
  </w:num>
  <w:num w:numId="6">
    <w:abstractNumId w:val="20"/>
  </w:num>
  <w:num w:numId="7">
    <w:abstractNumId w:val="29"/>
  </w:num>
  <w:num w:numId="8">
    <w:abstractNumId w:val="30"/>
  </w:num>
  <w:num w:numId="9">
    <w:abstractNumId w:val="4"/>
  </w:num>
  <w:num w:numId="10">
    <w:abstractNumId w:val="3"/>
  </w:num>
  <w:num w:numId="11">
    <w:abstractNumId w:val="10"/>
  </w:num>
  <w:num w:numId="12">
    <w:abstractNumId w:val="28"/>
  </w:num>
  <w:num w:numId="13">
    <w:abstractNumId w:val="8"/>
  </w:num>
  <w:num w:numId="14">
    <w:abstractNumId w:val="22"/>
  </w:num>
  <w:num w:numId="15">
    <w:abstractNumId w:val="18"/>
  </w:num>
  <w:num w:numId="16">
    <w:abstractNumId w:val="17"/>
  </w:num>
  <w:num w:numId="17">
    <w:abstractNumId w:val="23"/>
  </w:num>
  <w:num w:numId="18">
    <w:abstractNumId w:val="35"/>
  </w:num>
  <w:num w:numId="19">
    <w:abstractNumId w:val="21"/>
  </w:num>
  <w:num w:numId="20">
    <w:abstractNumId w:val="34"/>
  </w:num>
  <w:num w:numId="21">
    <w:abstractNumId w:val="6"/>
  </w:num>
  <w:num w:numId="22">
    <w:abstractNumId w:val="32"/>
  </w:num>
  <w:num w:numId="23">
    <w:abstractNumId w:val="24"/>
  </w:num>
  <w:num w:numId="24">
    <w:abstractNumId w:val="15"/>
  </w:num>
  <w:num w:numId="25">
    <w:abstractNumId w:val="11"/>
  </w:num>
  <w:num w:numId="26">
    <w:abstractNumId w:val="14"/>
  </w:num>
  <w:num w:numId="27">
    <w:abstractNumId w:val="36"/>
  </w:num>
  <w:num w:numId="28">
    <w:abstractNumId w:val="27"/>
  </w:num>
  <w:num w:numId="29">
    <w:abstractNumId w:val="7"/>
  </w:num>
  <w:num w:numId="30">
    <w:abstractNumId w:val="2"/>
  </w:num>
  <w:num w:numId="31">
    <w:abstractNumId w:val="13"/>
  </w:num>
  <w:num w:numId="32">
    <w:abstractNumId w:val="19"/>
  </w:num>
  <w:num w:numId="33">
    <w:abstractNumId w:val="33"/>
  </w:num>
  <w:num w:numId="34">
    <w:abstractNumId w:val="1"/>
  </w:num>
  <w:num w:numId="35">
    <w:abstractNumId w:val="16"/>
  </w:num>
  <w:num w:numId="36">
    <w:abstractNumId w:val="26"/>
  </w:num>
  <w:num w:numId="37">
    <w:abstractNumId w:val="0"/>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937"/>
    <w:rsid w:val="001F179E"/>
    <w:rsid w:val="003F2203"/>
    <w:rsid w:val="00453DA5"/>
    <w:rsid w:val="00532C63"/>
    <w:rsid w:val="005E41C5"/>
    <w:rsid w:val="00605CCB"/>
    <w:rsid w:val="00643937"/>
    <w:rsid w:val="007E545A"/>
    <w:rsid w:val="008D120C"/>
    <w:rsid w:val="008F5E44"/>
    <w:rsid w:val="00E2660E"/>
    <w:rsid w:val="00E736DD"/>
    <w:rsid w:val="00EA55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1812D"/>
  <w15:chartTrackingRefBased/>
  <w15:docId w15:val="{5E9ABC24-F1CC-413C-B9A9-083F6199A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6439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6439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643937"/>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64393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4393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4393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4393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4393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4393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43937"/>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64393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643937"/>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43937"/>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43937"/>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4393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4393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4393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43937"/>
    <w:rPr>
      <w:rFonts w:eastAsiaTheme="majorEastAsia" w:cstheme="majorBidi"/>
      <w:color w:val="272727" w:themeColor="text1" w:themeTint="D8"/>
    </w:rPr>
  </w:style>
  <w:style w:type="paragraph" w:styleId="KonuBal">
    <w:name w:val="Title"/>
    <w:basedOn w:val="Normal"/>
    <w:next w:val="Normal"/>
    <w:link w:val="KonuBalChar"/>
    <w:uiPriority w:val="10"/>
    <w:qFormat/>
    <w:rsid w:val="006439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4393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4393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4393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4393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43937"/>
    <w:rPr>
      <w:i/>
      <w:iCs/>
      <w:color w:val="404040" w:themeColor="text1" w:themeTint="BF"/>
    </w:rPr>
  </w:style>
  <w:style w:type="paragraph" w:styleId="ListeParagraf">
    <w:name w:val="List Paragraph"/>
    <w:basedOn w:val="Normal"/>
    <w:uiPriority w:val="34"/>
    <w:qFormat/>
    <w:rsid w:val="00643937"/>
    <w:pPr>
      <w:ind w:left="720"/>
      <w:contextualSpacing/>
    </w:pPr>
  </w:style>
  <w:style w:type="character" w:styleId="GlVurgulama">
    <w:name w:val="Intense Emphasis"/>
    <w:basedOn w:val="VarsaylanParagrafYazTipi"/>
    <w:uiPriority w:val="21"/>
    <w:qFormat/>
    <w:rsid w:val="00643937"/>
    <w:rPr>
      <w:i/>
      <w:iCs/>
      <w:color w:val="0F4761" w:themeColor="accent1" w:themeShade="BF"/>
    </w:rPr>
  </w:style>
  <w:style w:type="paragraph" w:styleId="GlAlnt">
    <w:name w:val="Intense Quote"/>
    <w:basedOn w:val="Normal"/>
    <w:next w:val="Normal"/>
    <w:link w:val="GlAlntChar"/>
    <w:uiPriority w:val="30"/>
    <w:qFormat/>
    <w:rsid w:val="006439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43937"/>
    <w:rPr>
      <w:i/>
      <w:iCs/>
      <w:color w:val="0F4761" w:themeColor="accent1" w:themeShade="BF"/>
    </w:rPr>
  </w:style>
  <w:style w:type="character" w:styleId="GlBavuru">
    <w:name w:val="Intense Reference"/>
    <w:basedOn w:val="VarsaylanParagrafYazTipi"/>
    <w:uiPriority w:val="32"/>
    <w:qFormat/>
    <w:rsid w:val="00643937"/>
    <w:rPr>
      <w:b/>
      <w:bCs/>
      <w:smallCaps/>
      <w:color w:val="0F4761" w:themeColor="accent1" w:themeShade="BF"/>
      <w:spacing w:val="5"/>
    </w:rPr>
  </w:style>
  <w:style w:type="paragraph" w:styleId="stBilgi">
    <w:name w:val="header"/>
    <w:basedOn w:val="Normal"/>
    <w:link w:val="stBilgiChar"/>
    <w:uiPriority w:val="99"/>
    <w:unhideWhenUsed/>
    <w:rsid w:val="00E2660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2660E"/>
  </w:style>
  <w:style w:type="paragraph" w:styleId="AltBilgi">
    <w:name w:val="footer"/>
    <w:basedOn w:val="Normal"/>
    <w:link w:val="AltBilgiChar"/>
    <w:uiPriority w:val="99"/>
    <w:unhideWhenUsed/>
    <w:rsid w:val="00E2660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2660E"/>
  </w:style>
  <w:style w:type="paragraph" w:styleId="BalonMetni">
    <w:name w:val="Balloon Text"/>
    <w:basedOn w:val="Normal"/>
    <w:link w:val="BalonMetniChar"/>
    <w:uiPriority w:val="99"/>
    <w:semiHidden/>
    <w:unhideWhenUsed/>
    <w:rsid w:val="00EA554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55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752</Words>
  <Characters>4293</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Ozan Kılıç</dc:creator>
  <cp:keywords/>
  <dc:description/>
  <cp:lastModifiedBy>Asus</cp:lastModifiedBy>
  <cp:revision>4</cp:revision>
  <cp:lastPrinted>2025-09-15T07:23:00Z</cp:lastPrinted>
  <dcterms:created xsi:type="dcterms:W3CDTF">2025-09-15T07:13:00Z</dcterms:created>
  <dcterms:modified xsi:type="dcterms:W3CDTF">2025-09-15T07:29:00Z</dcterms:modified>
</cp:coreProperties>
</file>